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bookmarkStart w:id="0" w:name="_GoBack"/>
      <w:bookmarkEnd w:id="0"/>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CC5903" w:rsidRPr="003022A8">
        <w:rPr>
          <w:rFonts w:ascii="Times New Roman" w:eastAsia="標楷體" w:hAnsi="Times New Roman" w:cs="Times New Roman"/>
          <w:sz w:val="28"/>
          <w:szCs w:val="28"/>
        </w:rPr>
        <w:t>本組不限隊伍逕參加全國決賽，並透過本局報名。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看中文說</w:t>
      </w:r>
      <w:r w:rsidR="006E3017" w:rsidRPr="003022A8">
        <w:rPr>
          <w:rFonts w:ascii="Times New Roman" w:eastAsia="標楷體" w:hAnsi="Times New Roman" w:cs="Times New Roman"/>
          <w:sz w:val="28"/>
          <w:szCs w:val="28"/>
        </w:rPr>
        <w:t>族語。</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伍全體隊員以選定之族語別依序作答，每題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分，除「看中文寫族語」每題回答時間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首輪賽按各組別戰績最優之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隊伍晉級，若累計分數依然相同，即由「看圖卡說族語」及「聽族語說中文」所獲得分數較高者晉級，若分數依然相同，即加賽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隊同分即進行延長賽，並採依序作答題型之「看圖卡說族語」及「聽族語說中文」兩類型題目出題，每類型題目各出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題，以積分高者晉級，若積分仍然相同，即持續進行延長賽至一方勝出。</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1"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1"/>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參賽隊伍由本市薦派</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隊，其薦派方式如次︰</w:t>
      </w:r>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政府應分別薦派</w:t>
      </w:r>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隊參加國小、國中組全國賽，並以薦派各競賽組別之冠、亞軍隊伍為原則。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賽夏語、邵語、噶瑪蘭語、撒奇萊雅語、茂林凱茂語、萬山魯凱語、多納魯凱語、卡那卡那富語、拉阿魯哇語、卑南語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隊伍，由各縣（市）不限薦派隊伍逕參全國決賽。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週，將薦派參加決賽之隊伍相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304A9A"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t>月</w:t>
      </w:r>
      <w:r w:rsidR="00E16D58" w:rsidRPr="003022A8">
        <w:rPr>
          <w:rFonts w:ascii="Times New Roman" w:eastAsia="標楷體" w:hAnsi="Times New Roman" w:cs="Times New Roman" w:hint="eastAsia"/>
          <w:sz w:val="28"/>
          <w:szCs w:val="28"/>
        </w:rPr>
        <w:t>29</w:t>
      </w:r>
      <w:r w:rsidRPr="003022A8">
        <w:rPr>
          <w:rFonts w:ascii="Times New Roman" w:eastAsia="標楷體" w:hAnsi="Times New Roman" w:cs="Times New Roman"/>
          <w:sz w:val="28"/>
          <w:szCs w:val="28"/>
        </w:rPr>
        <w:t>日前回傳，並來電確認。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競賽裁判及出題人員不可為參加隊伍之帶隊老師。競賽時主辦單位應聘請熟悉參隊伍方言別之裁判。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檢錄組朗誦參賽號次與隊名時，該隊參賽人員應即檢錄，呼號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初賽獎項︰國小組、國中組︰各取優勝隊伍前四名。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獎牌乙面</w:t>
      </w:r>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瀕危語別組︰</w:t>
      </w:r>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請於</w:t>
      </w:r>
      <w:r w:rsidR="00CC7032">
        <w:rPr>
          <w:rFonts w:ascii="Times New Roman" w:eastAsia="標楷體" w:hAnsi="Times New Roman" w:cs="Times New Roman"/>
          <w:sz w:val="22"/>
        </w:rPr>
        <w:t>10</w:t>
      </w:r>
      <w:r w:rsidR="00CC7032">
        <w:rPr>
          <w:rFonts w:ascii="Times New Roman" w:eastAsia="標楷體" w:hAnsi="Times New Roman" w:cs="Times New Roman" w:hint="eastAsia"/>
          <w:sz w:val="22"/>
        </w:rPr>
        <w:t>8</w:t>
      </w:r>
      <w:r w:rsidRPr="00A74C8A">
        <w:rPr>
          <w:rFonts w:ascii="Times New Roman" w:eastAsia="標楷體" w:hAnsi="Times New Roman" w:cs="Times New Roman"/>
          <w:sz w:val="22"/>
        </w:rPr>
        <w:t>年</w:t>
      </w:r>
      <w:r w:rsidRPr="00A74C8A">
        <w:rPr>
          <w:rFonts w:ascii="Times New Roman" w:eastAsia="標楷體" w:hAnsi="Times New Roman" w:cs="Times New Roman"/>
          <w:sz w:val="22"/>
        </w:rPr>
        <w:t>3</w:t>
      </w:r>
      <w:r w:rsidRPr="00A74C8A">
        <w:rPr>
          <w:rFonts w:ascii="Times New Roman" w:eastAsia="標楷體" w:hAnsi="Times New Roman" w:cs="Times New Roman"/>
          <w:sz w:val="22"/>
        </w:rPr>
        <w:t>月</w:t>
      </w:r>
      <w:r w:rsidRPr="00A74C8A">
        <w:rPr>
          <w:rFonts w:ascii="Times New Roman" w:eastAsia="標楷體" w:hAnsi="Times New Roman" w:cs="Times New Roman" w:hint="eastAsia"/>
          <w:sz w:val="22"/>
        </w:rPr>
        <w:t>29</w:t>
      </w:r>
      <w:r w:rsidRPr="00A74C8A">
        <w:rPr>
          <w:rFonts w:ascii="Times New Roman" w:eastAsia="標楷體" w:hAnsi="Times New Roman" w:cs="Times New Roman"/>
          <w:sz w:val="22"/>
        </w:rPr>
        <w:t>日</w:t>
      </w:r>
      <w:r w:rsidRPr="00A74C8A">
        <w:rPr>
          <w:rFonts w:ascii="Times New Roman" w:eastAsia="標楷體" w:hAnsi="Times New Roman" w:cs="Times New Roman"/>
          <w:sz w:val="22"/>
        </w:rPr>
        <w:t>(</w:t>
      </w:r>
      <w:r w:rsidRPr="00A74C8A">
        <w:rPr>
          <w:rFonts w:ascii="Times New Roman" w:eastAsia="標楷體" w:hAnsi="Times New Roman" w:cs="Times New Roman"/>
          <w:sz w:val="22"/>
        </w:rPr>
        <w:t>星期</w:t>
      </w:r>
      <w:r w:rsidRPr="00A74C8A">
        <w:rPr>
          <w:rFonts w:ascii="Times New Roman" w:eastAsia="標楷體" w:hAnsi="Times New Roman" w:cs="Times New Roman" w:hint="eastAsia"/>
          <w:sz w:val="22"/>
        </w:rPr>
        <w:t>五</w:t>
      </w:r>
      <w:r w:rsidRPr="00A74C8A">
        <w:rPr>
          <w:rFonts w:ascii="Times New Roman" w:eastAsia="標楷體" w:hAnsi="Times New Roman" w:cs="Times New Roman"/>
          <w:sz w:val="22"/>
        </w:rPr>
        <w:t>)</w:t>
      </w:r>
      <w:r w:rsidRPr="00A74C8A">
        <w:rPr>
          <w:rFonts w:ascii="Times New Roman" w:eastAsia="標楷體" w:hAnsi="Times New Roman" w:cs="Times New Roman"/>
          <w:sz w:val="22"/>
        </w:rPr>
        <w:t>下午</w:t>
      </w:r>
      <w:r w:rsidRPr="00A74C8A">
        <w:rPr>
          <w:rFonts w:ascii="Times New Roman" w:eastAsia="標楷體" w:hAnsi="Times New Roman" w:cs="Times New Roman"/>
          <w:sz w:val="22"/>
        </w:rPr>
        <w:t>5</w:t>
      </w:r>
      <w:r w:rsidRPr="00A74C8A">
        <w:rPr>
          <w:rFonts w:ascii="Times New Roman" w:eastAsia="標楷體" w:hAnsi="Times New Roman" w:cs="Times New Roman"/>
          <w:sz w:val="22"/>
        </w:rPr>
        <w:t>點前將報名表及參賽人員照片電子檔傳至</w:t>
      </w:r>
      <w:r w:rsidRPr="00A74C8A">
        <w:rPr>
          <w:rFonts w:ascii="Times New Roman" w:eastAsia="標楷體" w:hAnsi="Times New Roman" w:cs="Times New Roman"/>
          <w:sz w:val="22"/>
        </w:rPr>
        <w:t>1</w:t>
      </w:r>
      <w:r>
        <w:rPr>
          <w:rFonts w:ascii="Times New Roman" w:eastAsia="標楷體" w:hAnsi="Times New Roman" w:cs="Times New Roman" w:hint="eastAsia"/>
          <w:sz w:val="22"/>
        </w:rPr>
        <w:t>0018622</w:t>
      </w:r>
      <w:r w:rsidRPr="00A74C8A">
        <w:rPr>
          <w:rFonts w:ascii="Times New Roman" w:eastAsia="標楷體" w:hAnsi="Times New Roman" w:cs="Times New Roman"/>
          <w:sz w:val="22"/>
        </w:rPr>
        <w:t>@mail.tycg.gov.tw</w:t>
      </w:r>
      <w:r w:rsidRPr="00A74C8A">
        <w:rPr>
          <w:rFonts w:ascii="Times New Roman" w:eastAsia="標楷體" w:hAnsi="Times New Roman" w:cs="Times New Roman"/>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A74C8A">
        <w:rPr>
          <w:rFonts w:ascii="Times New Roman" w:eastAsia="標楷體" w:hAnsi="Times New Roman" w:cs="Times New Roman"/>
          <w:sz w:val="22"/>
        </w:rPr>
        <w:t>03-3322101#6684-6685</w:t>
      </w:r>
      <w:r w:rsidRPr="00A74C8A">
        <w:rPr>
          <w:rFonts w:ascii="Times New Roman" w:eastAsia="標楷體" w:hAnsi="Times New Roman" w:cs="Times New Roman"/>
          <w:sz w:val="22"/>
        </w:rPr>
        <w:t>，</w:t>
      </w:r>
      <w:r w:rsidRPr="00A74C8A">
        <w:rPr>
          <w:rFonts w:ascii="Times New Roman" w:eastAsia="標楷體" w:hAnsi="Times New Roman" w:cs="Times New Roman" w:hint="eastAsia"/>
          <w:sz w:val="22"/>
        </w:rPr>
        <w:t>吳先生</w:t>
      </w:r>
      <w:r w:rsidRPr="00A74C8A">
        <w:rPr>
          <w:rFonts w:ascii="Times New Roman" w:eastAsia="標楷體" w:hAnsi="Times New Roman" w:cs="Times New Roman"/>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D3" w:rsidRDefault="005337D3" w:rsidP="00A706FB">
      <w:r>
        <w:separator/>
      </w:r>
    </w:p>
  </w:endnote>
  <w:endnote w:type="continuationSeparator" w:id="0">
    <w:p w:rsidR="005337D3" w:rsidRDefault="005337D3"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346E69" w:rsidRPr="00346E69">
          <w:rPr>
            <w:noProof/>
            <w:lang w:val="zh-TW"/>
          </w:rPr>
          <w:t>1</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D3" w:rsidRDefault="005337D3" w:rsidP="00A706FB">
      <w:r>
        <w:separator/>
      </w:r>
    </w:p>
  </w:footnote>
  <w:footnote w:type="continuationSeparator" w:id="0">
    <w:p w:rsidR="005337D3" w:rsidRDefault="005337D3"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46E69"/>
    <w:rsid w:val="00375F51"/>
    <w:rsid w:val="003A4353"/>
    <w:rsid w:val="003D1732"/>
    <w:rsid w:val="003D7B97"/>
    <w:rsid w:val="003E1C80"/>
    <w:rsid w:val="003F10EE"/>
    <w:rsid w:val="003F4243"/>
    <w:rsid w:val="0042252F"/>
    <w:rsid w:val="0043555D"/>
    <w:rsid w:val="00443E31"/>
    <w:rsid w:val="004616C4"/>
    <w:rsid w:val="00466512"/>
    <w:rsid w:val="004834C2"/>
    <w:rsid w:val="004A39FA"/>
    <w:rsid w:val="004A4D4F"/>
    <w:rsid w:val="004B4032"/>
    <w:rsid w:val="004D394D"/>
    <w:rsid w:val="005171E6"/>
    <w:rsid w:val="005337D3"/>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466A"/>
    <w:rsid w:val="00B17A8F"/>
    <w:rsid w:val="00B51388"/>
    <w:rsid w:val="00B55D61"/>
    <w:rsid w:val="00B817DC"/>
    <w:rsid w:val="00BA4A77"/>
    <w:rsid w:val="00BA533E"/>
    <w:rsid w:val="00BC48EB"/>
    <w:rsid w:val="00BD5302"/>
    <w:rsid w:val="00BD7B00"/>
    <w:rsid w:val="00C37371"/>
    <w:rsid w:val="00C47500"/>
    <w:rsid w:val="00C62BCA"/>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02A8-A5C6-41BA-BE52-15D841EE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3</cp:revision>
  <cp:lastPrinted>2017-06-03T01:52:00Z</cp:lastPrinted>
  <dcterms:created xsi:type="dcterms:W3CDTF">2019-03-15T00:58:00Z</dcterms:created>
  <dcterms:modified xsi:type="dcterms:W3CDTF">2019-03-15T00:58:00Z</dcterms:modified>
</cp:coreProperties>
</file>