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48" w:rsidRDefault="00865E3F">
      <w:pPr>
        <w:pStyle w:val="Standard"/>
        <w:spacing w:line="46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高級中等學校免試入學作業要點訂定應遵行事項</w:t>
      </w:r>
    </w:p>
    <w:p w:rsidR="008B7B48" w:rsidRDefault="00865E3F">
      <w:pPr>
        <w:pStyle w:val="Standard"/>
        <w:spacing w:line="46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第四點、第七點修正規定</w:t>
      </w:r>
    </w:p>
    <w:p w:rsidR="008B7B48" w:rsidRDefault="008B7B48">
      <w:pPr>
        <w:pStyle w:val="Standard"/>
        <w:spacing w:line="460" w:lineRule="exact"/>
        <w:jc w:val="center"/>
        <w:rPr>
          <w:rFonts w:ascii="標楷體" w:eastAsia="標楷體" w:hAnsi="標楷體" w:cs="標楷體"/>
          <w:b/>
          <w:color w:val="000000"/>
          <w:sz w:val="28"/>
          <w:szCs w:val="28"/>
        </w:rPr>
      </w:pPr>
      <w:bookmarkStart w:id="0" w:name="_GoBack"/>
      <w:bookmarkEnd w:id="0"/>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四、前點第七款比序項目及運作模式，應符合下列規定：</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（一）符合教育性、公平性、可操作性原則，規定如下：</w:t>
      </w:r>
    </w:p>
    <w:p w:rsidR="008B7B48" w:rsidRDefault="00865E3F">
      <w:pPr>
        <w:pStyle w:val="Standard"/>
        <w:spacing w:line="460" w:lineRule="exact"/>
        <w:ind w:left="1838" w:right="24" w:hanging="420"/>
        <w:jc w:val="both"/>
      </w:pPr>
      <w:r>
        <w:rPr>
          <w:rFonts w:ascii="標楷體" w:eastAsia="標楷體" w:hAnsi="標楷體" w:cs="標楷體"/>
          <w:color w:val="000000"/>
          <w:sz w:val="28"/>
          <w:szCs w:val="28"/>
        </w:rPr>
        <w:t>1、教育性：比序項目應符合教育目標，如培養五育均衡發展、重視學生多元智能、舒緩升學壓力，以</w:t>
      </w:r>
      <w:r>
        <w:rPr>
          <w:rFonts w:ascii="標楷體" w:eastAsia="標楷體" w:hAnsi="標楷體" w:cs="細明體, MingLiU"/>
          <w:color w:val="000000"/>
          <w:sz w:val="28"/>
          <w:szCs w:val="28"/>
        </w:rPr>
        <w:t>達成</w:t>
      </w:r>
      <w:r>
        <w:rPr>
          <w:rFonts w:ascii="標楷體" w:eastAsia="標楷體" w:hAnsi="標楷體" w:cs="標楷體"/>
          <w:color w:val="000000"/>
          <w:sz w:val="28"/>
          <w:szCs w:val="28"/>
        </w:rPr>
        <w:t>學生適性發展。</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2、公平性：比序項目應符合公平原則，促進教育機會均等。</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3、可操作性：比序項目應兼顧入學管道之可行性及完整性。</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（二）國中教育會考項目：</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1、是否採計由各區因地制宜。但不得列為唯一項目，應搭配其他比序項目整體規劃。</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2、超額比序項目包括國中教育會考總標示（總積點）者，其順次應置於多元學習表現項目總積分之後，並置於國中教育會考各科標示比序之前；比序項目包括國中教育會考三等級總積分者，總標示（總積點）並應置於三等級總積分之後。</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（三）志願序項目：</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1、普通型高級中等學校以校為原則；技術型高級中等學校得以校、群、科為志願序。</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2、是否採計由各區因地制宜考量；採計志願序者，以群組計分為原則，高低分積分差異不宜過大。</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（四）多元學習表現項目採計原則如附件。</w:t>
      </w:r>
    </w:p>
    <w:p w:rsidR="008B7B48" w:rsidRDefault="008B7B48">
      <w:pPr>
        <w:pStyle w:val="Standard"/>
        <w:spacing w:line="460" w:lineRule="exact"/>
        <w:rPr>
          <w:rFonts w:ascii="標楷體" w:eastAsia="標楷體" w:hAnsi="標楷體" w:cs="標楷體"/>
          <w:color w:val="000000"/>
          <w:sz w:val="28"/>
          <w:szCs w:val="28"/>
        </w:rPr>
      </w:pP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七、技藝技能優良學生甄審入學、國中技藝教育課程（班）畢業生分發實用技能學程（班）、建教合作班、技術型及單科型高級中等學校單獨辦理免試招生、身心障礙學生入學等，得由各主管機關另定招生方式及其他應遵行事項。</w:t>
      </w:r>
    </w:p>
    <w:p w:rsidR="008B7B48" w:rsidRDefault="00865E3F">
      <w:pPr>
        <w:pStyle w:val="Standard"/>
        <w:pageBreakBefore/>
        <w:spacing w:line="46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lastRenderedPageBreak/>
        <w:t>第四點附件：多元學習表現項目採計原則</w:t>
      </w:r>
    </w:p>
    <w:p w:rsidR="008B7B48" w:rsidRDefault="00865E3F">
      <w:pPr>
        <w:pStyle w:val="Standard"/>
        <w:spacing w:line="46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修正規定</w:t>
      </w:r>
    </w:p>
    <w:p w:rsidR="008B7B48" w:rsidRDefault="00865E3F">
      <w:pPr>
        <w:pStyle w:val="Standard"/>
        <w:spacing w:line="460" w:lineRule="exact"/>
        <w:ind w:left="566" w:hanging="566"/>
        <w:rPr>
          <w:rFonts w:ascii="標楷體" w:eastAsia="標楷體" w:hAnsi="標楷體" w:cs="標楷體"/>
          <w:bCs/>
          <w:color w:val="000000"/>
          <w:sz w:val="28"/>
          <w:szCs w:val="28"/>
        </w:rPr>
      </w:pPr>
      <w:r>
        <w:rPr>
          <w:rFonts w:ascii="標楷體" w:eastAsia="標楷體" w:hAnsi="標楷體" w:cs="標楷體"/>
          <w:bCs/>
          <w:color w:val="000000"/>
          <w:sz w:val="28"/>
          <w:szCs w:val="28"/>
        </w:rPr>
        <w:t>一、各就學區（以下簡稱各區）訂定多元學習表現規範時，應符合下列原則：</w:t>
      </w:r>
    </w:p>
    <w:p w:rsidR="008B7B48" w:rsidRDefault="00865E3F">
      <w:pPr>
        <w:pStyle w:val="Standard"/>
        <w:snapToGrid w:val="0"/>
        <w:spacing w:line="460" w:lineRule="exact"/>
        <w:ind w:right="-82" w:firstLine="566"/>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（一）適性均衡：以學生皆可達成之學習目標，設定基本採計門檻。</w:t>
      </w:r>
    </w:p>
    <w:p w:rsidR="008B7B48" w:rsidRDefault="00865E3F">
      <w:pPr>
        <w:pStyle w:val="Standard"/>
        <w:snapToGrid w:val="0"/>
        <w:spacing w:line="460" w:lineRule="exact"/>
        <w:ind w:right="-82" w:firstLine="566"/>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（二）規範明確：</w:t>
      </w:r>
    </w:p>
    <w:p w:rsidR="008B7B48" w:rsidRDefault="00865E3F">
      <w:pPr>
        <w:pStyle w:val="Standard"/>
        <w:snapToGrid w:val="0"/>
        <w:spacing w:line="460" w:lineRule="exact"/>
        <w:ind w:left="1841" w:right="-82" w:hanging="423"/>
        <w:jc w:val="both"/>
      </w:pPr>
      <w:r>
        <w:rPr>
          <w:rFonts w:ascii="標楷體" w:eastAsia="標楷體" w:hAnsi="標楷體" w:cs="標楷體"/>
          <w:bCs/>
          <w:color w:val="000000"/>
          <w:sz w:val="28"/>
          <w:szCs w:val="28"/>
        </w:rPr>
        <w:t>1、定義明確：述明採計項目及定義，由直轄市、縣(市)政府統一訂定並公告。</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2、採計明確：同一事由同時獲得獎勵及其他超額比序採計項目分數時，以擇一方式計分，不重複給分。</w:t>
      </w:r>
    </w:p>
    <w:p w:rsidR="008B7B48" w:rsidRDefault="00865E3F">
      <w:pPr>
        <w:pStyle w:val="Standard"/>
        <w:snapToGrid w:val="0"/>
        <w:spacing w:line="460" w:lineRule="exact"/>
        <w:ind w:right="-82" w:firstLine="566"/>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（三）程序完備：各區研訂時應廣納各界意見，並定期檢討。</w:t>
      </w:r>
    </w:p>
    <w:p w:rsidR="008B7B48" w:rsidRDefault="00865E3F">
      <w:pPr>
        <w:pStyle w:val="Standard"/>
        <w:spacing w:line="460" w:lineRule="exact"/>
        <w:ind w:left="566" w:hanging="566"/>
        <w:rPr>
          <w:rFonts w:ascii="標楷體" w:eastAsia="標楷體" w:hAnsi="標楷體" w:cs="標楷體"/>
          <w:bCs/>
          <w:color w:val="000000"/>
          <w:sz w:val="28"/>
          <w:szCs w:val="28"/>
        </w:rPr>
      </w:pPr>
      <w:r>
        <w:rPr>
          <w:rFonts w:ascii="標楷體" w:eastAsia="標楷體" w:hAnsi="標楷體" w:cs="標楷體"/>
          <w:bCs/>
          <w:color w:val="000000"/>
          <w:sz w:val="28"/>
          <w:szCs w:val="28"/>
        </w:rPr>
        <w:t>二、「體適能」項目採計原則：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（一）體適能檢測項目參照教育部（以下簡稱本部）公布之體適能常模，依不同性別及年齡，各單項檢測成績門檻標準如下：</w:t>
      </w:r>
    </w:p>
    <w:tbl>
      <w:tblPr>
        <w:tblW w:w="9535" w:type="dxa"/>
        <w:tblInd w:w="-118" w:type="dxa"/>
        <w:tblLayout w:type="fixed"/>
        <w:tblCellMar>
          <w:left w:w="10" w:type="dxa"/>
          <w:right w:w="10" w:type="dxa"/>
        </w:tblCellMar>
        <w:tblLook w:val="0000" w:firstRow="0" w:lastRow="0" w:firstColumn="0" w:lastColumn="0" w:noHBand="0" w:noVBand="0"/>
      </w:tblPr>
      <w:tblGrid>
        <w:gridCol w:w="3353"/>
        <w:gridCol w:w="758"/>
        <w:gridCol w:w="709"/>
        <w:gridCol w:w="720"/>
        <w:gridCol w:w="720"/>
        <w:gridCol w:w="720"/>
        <w:gridCol w:w="720"/>
        <w:gridCol w:w="974"/>
        <w:gridCol w:w="861"/>
      </w:tblGrid>
      <w:tr w:rsidR="008B7B48">
        <w:trPr>
          <w:cantSplit/>
        </w:trPr>
        <w:tc>
          <w:tcPr>
            <w:tcW w:w="3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B7B48" w:rsidRDefault="00865E3F">
            <w:pPr>
              <w:pStyle w:val="Standard"/>
              <w:snapToGrid w:val="0"/>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項 目</w:t>
            </w:r>
          </w:p>
        </w:tc>
        <w:tc>
          <w:tcPr>
            <w:tcW w:w="2907"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男生</w:t>
            </w:r>
          </w:p>
        </w:tc>
        <w:tc>
          <w:tcPr>
            <w:tcW w:w="32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女生</w:t>
            </w:r>
          </w:p>
        </w:tc>
      </w:tr>
      <w:tr w:rsidR="008B7B48">
        <w:trPr>
          <w:cantSplit/>
          <w:trHeight w:val="336"/>
        </w:trPr>
        <w:tc>
          <w:tcPr>
            <w:tcW w:w="335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B05E3" w:rsidRDefault="007B05E3">
            <w:pPr>
              <w:rPr>
                <w:rFonts w:hint="eastAsia"/>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13歲</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14歲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15歲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16歲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13歲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14歲</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15歲</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16歲</w:t>
            </w:r>
          </w:p>
        </w:tc>
      </w:tr>
      <w:tr w:rsidR="008B7B48">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肌耐力：一分鐘屈膝仰臥起坐(次)</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29</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32</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33</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23</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22</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22</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23</w:t>
            </w:r>
          </w:p>
        </w:tc>
      </w:tr>
      <w:tr w:rsidR="008B7B48">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柔軟度：坐姿體前彎(公分)</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24</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23</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25</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24</w:t>
            </w:r>
          </w:p>
        </w:tc>
      </w:tr>
      <w:tr w:rsidR="008B7B48">
        <w:trPr>
          <w:trHeight w:val="540"/>
        </w:trPr>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瞬發力：立定跳遠(公分)</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148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165</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175</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122</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125</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127</w:t>
            </w:r>
          </w:p>
        </w:tc>
      </w:tr>
      <w:tr w:rsidR="008B7B48">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tabs>
                <w:tab w:val="left" w:pos="1872"/>
              </w:tabs>
              <w:snapToGrid w:val="0"/>
              <w:spacing w:line="460" w:lineRule="exact"/>
            </w:pPr>
            <w:r>
              <w:rPr>
                <w:rFonts w:ascii="標楷體" w:eastAsia="標楷體" w:hAnsi="標楷體" w:cs="標楷體"/>
                <w:color w:val="000000"/>
                <w:w w:val="77"/>
                <w:sz w:val="32"/>
                <w:szCs w:val="32"/>
              </w:rPr>
              <w:t>心肺耐</w:t>
            </w:r>
            <w:r>
              <w:rPr>
                <w:rFonts w:ascii="標楷體" w:eastAsia="標楷體" w:hAnsi="標楷體" w:cs="標楷體"/>
                <w:color w:val="000000"/>
                <w:spacing w:val="2"/>
                <w:w w:val="77"/>
                <w:sz w:val="32"/>
                <w:szCs w:val="32"/>
              </w:rPr>
              <w:t>力</w:t>
            </w:r>
            <w:r>
              <w:rPr>
                <w:rFonts w:ascii="標楷體" w:eastAsia="標楷體" w:hAnsi="標楷體" w:cs="標楷體"/>
                <w:color w:val="000000"/>
                <w:sz w:val="32"/>
                <w:szCs w:val="32"/>
              </w:rPr>
              <w:t>：</w:t>
            </w:r>
            <w:r>
              <w:rPr>
                <w:rFonts w:ascii="標楷體" w:eastAsia="標楷體" w:hAnsi="標楷體" w:cs="標楷體"/>
                <w:color w:val="000000"/>
                <w:w w:val="75"/>
                <w:sz w:val="28"/>
                <w:szCs w:val="28"/>
              </w:rPr>
              <w:t>8</w:t>
            </w:r>
            <w:r>
              <w:rPr>
                <w:rFonts w:ascii="標楷體" w:eastAsia="標楷體" w:hAnsi="標楷體" w:cs="標楷體"/>
                <w:color w:val="000000"/>
                <w:sz w:val="28"/>
                <w:szCs w:val="28"/>
              </w:rPr>
              <w:t>00(女)/1600(男)公尺跑走</w:t>
            </w:r>
            <w:r>
              <w:rPr>
                <w:rFonts w:ascii="標楷體" w:eastAsia="標楷體" w:hAnsi="標楷體" w:cs="標楷體"/>
                <w:color w:val="000000"/>
                <w:w w:val="75"/>
                <w:sz w:val="28"/>
                <w:szCs w:val="28"/>
              </w:rPr>
              <w:t>(秒)</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676</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659</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619</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578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316</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323</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320</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311</w:t>
            </w:r>
          </w:p>
        </w:tc>
      </w:tr>
    </w:tbl>
    <w:p w:rsidR="008B7B48" w:rsidRDefault="00865E3F">
      <w:pPr>
        <w:pStyle w:val="Standard"/>
        <w:snapToGrid w:val="0"/>
        <w:spacing w:line="460" w:lineRule="exact"/>
        <w:ind w:right="-82" w:firstLine="566"/>
        <w:jc w:val="both"/>
        <w:rPr>
          <w:rFonts w:ascii="標楷體" w:eastAsia="標楷體" w:hAnsi="標楷體" w:cs="標楷體"/>
          <w:color w:val="000000"/>
          <w:sz w:val="28"/>
          <w:szCs w:val="28"/>
        </w:rPr>
      </w:pPr>
      <w:r>
        <w:rPr>
          <w:rFonts w:ascii="標楷體" w:eastAsia="標楷體" w:hAnsi="標楷體" w:cs="標楷體"/>
          <w:color w:val="000000"/>
          <w:sz w:val="28"/>
          <w:szCs w:val="28"/>
        </w:rPr>
        <w:t>（二）計分原則：</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1、檢測成績以門檻方式計分。</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持有各級主管機關特殊教育學生鑑定及就學輔導會鑑定為身心障礙學生之證明，或領有身心障礙手冊(證明)者，或持有公立醫院證明為重大傷病、體弱學生，或經學校組成專責小組認定確屬不宜檢測之學生，比照門檻標準，予以計分。</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3、各區可自行決定採計下列之成績證明：</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（1）體適能檢測站成績證明：學生至體適能檢測站檢測，由本部統一提供格式，核發單位為各直轄市、縣(市)政府教育局(處)或檢測單位。</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（2）學校自行檢測成績證明：經學校核章之體適能成績證明，檢測結果並由學校上傳至本部體適能資料上傳管理系統備查。</w:t>
      </w: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三、「競賽、資格檢定及證照」項目採計原則：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（一）競賽項目：限學生於國中階段參加獲獎者，採計時應符合下列認定原則:</w:t>
      </w:r>
    </w:p>
    <w:p w:rsidR="008B7B48" w:rsidRDefault="00865E3F">
      <w:pPr>
        <w:pStyle w:val="Standard"/>
        <w:snapToGrid w:val="0"/>
        <w:spacing w:line="460" w:lineRule="exact"/>
        <w:ind w:left="1841" w:right="-82" w:hanging="423"/>
        <w:jc w:val="both"/>
      </w:pPr>
      <w:r>
        <w:rPr>
          <w:rFonts w:ascii="標楷體" w:eastAsia="標楷體" w:hAnsi="標楷體" w:cs="文鼎PL細上海宋Uni, 'Times New Roman'"/>
          <w:bCs/>
          <w:color w:val="000000"/>
          <w:sz w:val="28"/>
          <w:szCs w:val="28"/>
        </w:rPr>
        <w:t>1、符合主辦</w:t>
      </w:r>
      <w:r>
        <w:rPr>
          <w:rFonts w:ascii="標楷體" w:eastAsia="標楷體" w:hAnsi="標楷體" w:cs="標楷體"/>
          <w:bCs/>
          <w:color w:val="000000"/>
          <w:sz w:val="28"/>
          <w:szCs w:val="28"/>
        </w:rPr>
        <w:t>層級認定：</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（1）國際性：指經中央機關薦送或認可之國際性競賽。</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（2）全國性：指中央機關主辦之全國性競賽。</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（3）區域性：指由中央機關主辦之分區賽，或各直轄市、 縣(市)政府教育局(處)聯合辦理之跨縣市競賽。</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（4）縣市性：指直轄市、縣（市）政府主辦或認可之競賽。</w:t>
      </w:r>
    </w:p>
    <w:p w:rsidR="008B7B48" w:rsidRDefault="00865E3F">
      <w:pPr>
        <w:pStyle w:val="Standard"/>
        <w:snapToGrid w:val="0"/>
        <w:spacing w:line="460" w:lineRule="exact"/>
        <w:ind w:left="1841" w:right="-82" w:hanging="423"/>
        <w:jc w:val="both"/>
      </w:pPr>
      <w:r>
        <w:rPr>
          <w:rFonts w:ascii="標楷體" w:eastAsia="標楷體" w:hAnsi="標楷體" w:cs="文鼎PL細上海宋Uni, 'Times New Roman'"/>
          <w:bCs/>
          <w:color w:val="000000"/>
          <w:sz w:val="28"/>
          <w:szCs w:val="28"/>
        </w:rPr>
        <w:t>2、</w:t>
      </w:r>
      <w:r>
        <w:rPr>
          <w:rFonts w:ascii="標楷體" w:eastAsia="標楷體" w:hAnsi="標楷體" w:cs="標楷體"/>
          <w:bCs/>
          <w:color w:val="000000"/>
          <w:sz w:val="28"/>
          <w:szCs w:val="28"/>
        </w:rPr>
        <w:t>符合</w:t>
      </w:r>
      <w:r>
        <w:rPr>
          <w:rFonts w:ascii="標楷體" w:eastAsia="標楷體" w:hAnsi="標楷體" w:cs="文鼎PL細上海宋Uni, 'Times New Roman'"/>
          <w:bCs/>
          <w:color w:val="000000"/>
          <w:sz w:val="28"/>
          <w:szCs w:val="28"/>
        </w:rPr>
        <w:t>辦理</w:t>
      </w:r>
      <w:r>
        <w:rPr>
          <w:rFonts w:ascii="標楷體" w:eastAsia="標楷體" w:hAnsi="標楷體" w:cs="標楷體"/>
          <w:bCs/>
          <w:color w:val="000000"/>
          <w:sz w:val="28"/>
          <w:szCs w:val="28"/>
        </w:rPr>
        <w:t>原則認定：</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（1）教育性：應與國中課程教學相符，鼓勵學生發展多元智能及自我優勢。</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（2）經常性：應定期辦理，並逐年適時檢視評審評分、競賽分組、教師指導等競賽規範之公平性。</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（3）普遍性：競賽資訊應由主辦單位函告轄內國民中學學生周知，妥為宣導，並儘量讓所有學生都有參加機會。</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（4）逐級性：縣市性競賽參賽者，原則由學校經校內初選或推薦參加之；區域性、全國性、國際性競賽參賽者，原則由學校經校內初選或推薦，並由直轄市、縣（市）政府複選或推薦參加。</w:t>
      </w:r>
    </w:p>
    <w:p w:rsidR="008B7B48" w:rsidRDefault="00865E3F">
      <w:pPr>
        <w:pStyle w:val="Standard"/>
        <w:snapToGrid w:val="0"/>
        <w:spacing w:line="460" w:lineRule="exact"/>
        <w:ind w:left="1841" w:right="-82" w:hanging="423"/>
        <w:jc w:val="both"/>
        <w:rPr>
          <w:rFonts w:ascii="標楷體" w:eastAsia="標楷體" w:hAnsi="標楷體" w:cs="文鼎PL細上海宋Uni, 'Times New Roman'"/>
          <w:bCs/>
          <w:color w:val="000000"/>
          <w:sz w:val="28"/>
          <w:szCs w:val="28"/>
        </w:rPr>
      </w:pPr>
      <w:r>
        <w:rPr>
          <w:rFonts w:ascii="標楷體" w:eastAsia="標楷體" w:hAnsi="標楷體" w:cs="文鼎PL細上海宋Uni, 'Times New Roman'"/>
          <w:bCs/>
          <w:color w:val="000000"/>
          <w:sz w:val="28"/>
          <w:szCs w:val="28"/>
        </w:rPr>
        <w:t>3、成績計分原則：</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（1）應明定各競賽項目核獎之項目及人數上限，且競賽間之核獎總數應符合比例原則。</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（2）競賽成績積分之總合應訂定上限。</w:t>
      </w:r>
    </w:p>
    <w:p w:rsidR="008B7B48" w:rsidRDefault="00865E3F">
      <w:pPr>
        <w:pStyle w:val="Standard"/>
        <w:snapToGrid w:val="0"/>
        <w:spacing w:line="460" w:lineRule="exact"/>
        <w:ind w:left="1414" w:right="-82" w:hanging="848"/>
        <w:jc w:val="both"/>
      </w:pPr>
      <w:r>
        <w:rPr>
          <w:rFonts w:ascii="標楷體" w:eastAsia="標楷體" w:hAnsi="標楷體" w:cs="文鼎PL細上海宋Uni, 'Times New Roman'"/>
          <w:bCs/>
          <w:color w:val="000000"/>
          <w:sz w:val="28"/>
          <w:szCs w:val="28"/>
        </w:rPr>
        <w:t>（二）資格檢定</w:t>
      </w:r>
      <w:r>
        <w:rPr>
          <w:rFonts w:ascii="標楷體" w:eastAsia="標楷體" w:hAnsi="標楷體" w:cs="標楷體"/>
          <w:color w:val="000000"/>
          <w:sz w:val="28"/>
          <w:szCs w:val="28"/>
        </w:rPr>
        <w:t>及證照</w:t>
      </w:r>
      <w:r>
        <w:rPr>
          <w:rFonts w:ascii="標楷體" w:eastAsia="標楷體" w:hAnsi="標楷體" w:cs="文鼎PL細上海宋Uni, 'Times New Roman'"/>
          <w:bCs/>
          <w:color w:val="000000"/>
          <w:sz w:val="28"/>
          <w:szCs w:val="28"/>
        </w:rPr>
        <w:t>之認定，以政府機關辦理或認可之項目為範圍，其</w:t>
      </w:r>
      <w:r>
        <w:rPr>
          <w:rFonts w:ascii="標楷體" w:eastAsia="標楷體" w:hAnsi="標楷體" w:cs="標楷體"/>
          <w:bCs/>
          <w:color w:val="000000"/>
          <w:sz w:val="28"/>
          <w:szCs w:val="28"/>
        </w:rPr>
        <w:t>積分之總合</w:t>
      </w:r>
      <w:r>
        <w:rPr>
          <w:rFonts w:ascii="標楷體" w:eastAsia="標楷體" w:hAnsi="標楷體" w:cs="文鼎PL細上海宋Uni, 'Times New Roman'"/>
          <w:bCs/>
          <w:color w:val="000000"/>
          <w:sz w:val="28"/>
          <w:szCs w:val="28"/>
        </w:rPr>
        <w:t>應訂定上限。</w:t>
      </w: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四、「服務學習」項目採計原則：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（一）各國中應依據直轄市、縣(市)政府所訂定規範，由學校提供足量之服務學習時數，並公告周知。</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（二）校內服務，由學校規劃學習課程或活動，並發給服務學習證明；校外服務內容及發證，由各區定之。</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（三）參加學校社團，或經民主程序選出之幹部，得納入服務學習項目計分。</w:t>
      </w:r>
    </w:p>
    <w:p w:rsidR="008B7B48" w:rsidRDefault="00865E3F">
      <w:pPr>
        <w:pStyle w:val="Standard"/>
        <w:spacing w:line="460" w:lineRule="exact"/>
        <w:ind w:left="566" w:hanging="566"/>
      </w:pPr>
      <w:r>
        <w:rPr>
          <w:rFonts w:ascii="標楷體" w:eastAsia="標楷體" w:hAnsi="標楷體" w:cs="標楷體"/>
          <w:bCs/>
          <w:color w:val="000000"/>
          <w:sz w:val="28"/>
          <w:szCs w:val="28"/>
        </w:rPr>
        <w:t>五</w:t>
      </w:r>
      <w:r>
        <w:rPr>
          <w:rFonts w:ascii="標楷體" w:eastAsia="標楷體" w:hAnsi="標楷體" w:cs="標楷體"/>
          <w:color w:val="000000"/>
          <w:sz w:val="28"/>
          <w:szCs w:val="28"/>
        </w:rPr>
        <w:t>、「日常生活表現」項目採計原則：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（一）獎懲類別：依獎懲種類分別計分。功過相抵或銷過後無懲處紀錄者，與原無懲處紀錄者給予同等之計分。</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（二）出缺席情形，以學生之曠課節數為計分依據。</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（三）各區應訂定日常生活表現項目積分總合之上限。</w:t>
      </w: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六、直轄市、縣(市)政府，應就非應屆畢業學生、轉學生、特殊教育學生、身體羸弱與家庭經濟不利學生、海外臺灣學校、大陸地區臺商學校及非學校型態實驗教育學生之特殊性，妥慎考量其採計方式及輔導措施，以確保其升學權益。</w:t>
      </w:r>
    </w:p>
    <w:p w:rsidR="008B7B48" w:rsidRDefault="008B7B48">
      <w:pPr>
        <w:pStyle w:val="Standard"/>
        <w:spacing w:line="460" w:lineRule="exact"/>
        <w:ind w:left="566" w:hanging="566"/>
        <w:rPr>
          <w:rFonts w:ascii="標楷體" w:eastAsia="標楷體" w:hAnsi="標楷體" w:cs="標楷體"/>
          <w:b/>
          <w:color w:val="000000"/>
          <w:sz w:val="28"/>
          <w:szCs w:val="28"/>
        </w:rPr>
      </w:pPr>
    </w:p>
    <w:sectPr w:rsidR="008B7B48">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E5" w:rsidRDefault="00ED71E5">
      <w:pPr>
        <w:rPr>
          <w:rFonts w:hint="eastAsia"/>
        </w:rPr>
      </w:pPr>
      <w:r>
        <w:separator/>
      </w:r>
    </w:p>
  </w:endnote>
  <w:endnote w:type="continuationSeparator" w:id="0">
    <w:p w:rsidR="00ED71E5" w:rsidRDefault="00ED71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文鼎PL細上海宋Uni, 'Times New Roman'">
    <w:charset w:val="00"/>
    <w:family w:val="roman"/>
    <w:pitch w:val="variable"/>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E5" w:rsidRDefault="00ED71E5">
      <w:pPr>
        <w:rPr>
          <w:rFonts w:hint="eastAsia"/>
        </w:rPr>
      </w:pPr>
      <w:r>
        <w:rPr>
          <w:color w:val="000000"/>
        </w:rPr>
        <w:separator/>
      </w:r>
    </w:p>
  </w:footnote>
  <w:footnote w:type="continuationSeparator" w:id="0">
    <w:p w:rsidR="00ED71E5" w:rsidRDefault="00ED71E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7815"/>
    <w:multiLevelType w:val="multilevel"/>
    <w:tmpl w:val="153E32B6"/>
    <w:styleLink w:val="WW8Num1"/>
    <w:lvl w:ilvl="0">
      <w:start w:val="1"/>
      <w:numFmt w:val="japaneseCounting"/>
      <w:lvlText w:val="%1、"/>
      <w:lvlJc w:val="left"/>
      <w:pPr>
        <w:ind w:left="720" w:hanging="480"/>
      </w:pPr>
      <w:rPr>
        <w:rFonts w:cs="Times New Roman"/>
        <w:color w:val="000000"/>
        <w:u w:val="single"/>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B7B48"/>
    <w:rsid w:val="005C42E9"/>
    <w:rsid w:val="007B05E3"/>
    <w:rsid w:val="00865E3F"/>
    <w:rsid w:val="008B7B48"/>
    <w:rsid w:val="00ED71E5"/>
    <w:rsid w:val="00FC6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a7">
    <w:name w:val="List Paragraph"/>
    <w:basedOn w:val="Standard"/>
    <w:pPr>
      <w:ind w:left="48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Times New Roman"/>
      <w:color w:val="000000"/>
      <w:u w:val="single"/>
    </w:rPr>
  </w:style>
  <w:style w:type="character" w:customStyle="1" w:styleId="WW8Num1z1">
    <w:name w:val="WW8Num1z1"/>
    <w:rPr>
      <w:rFonts w:cs="Times New Roman"/>
    </w:rPr>
  </w:style>
  <w:style w:type="character" w:customStyle="1" w:styleId="a8">
    <w:name w:val="頁首 字元"/>
    <w:basedOn w:val="a0"/>
    <w:rPr>
      <w:kern w:val="3"/>
    </w:rPr>
  </w:style>
  <w:style w:type="character" w:customStyle="1" w:styleId="a9">
    <w:name w:val="頁尾 字元"/>
    <w:basedOn w:val="a0"/>
    <w:rPr>
      <w:kern w:val="3"/>
    </w:rPr>
  </w:style>
  <w:style w:type="character" w:customStyle="1" w:styleId="HTML0">
    <w:name w:val="HTML 預設格式 字元"/>
    <w:basedOn w:val="a0"/>
    <w:rPr>
      <w:rFonts w:ascii="細明體, MingLiU" w:eastAsia="細明體, MingLiU" w:hAnsi="細明體, MingLiU" w:cs="細明體, MingLiU"/>
      <w:sz w:val="24"/>
      <w:szCs w:val="24"/>
    </w:rPr>
  </w:style>
  <w:style w:type="character" w:customStyle="1" w:styleId="aa">
    <w:name w:val="清單段落 字元"/>
    <w:rPr>
      <w:szCs w:val="24"/>
    </w:rPr>
  </w:style>
  <w:style w:type="numbering" w:customStyle="1" w:styleId="WW8Num1">
    <w:name w:val="WW8Num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a7">
    <w:name w:val="List Paragraph"/>
    <w:basedOn w:val="Standard"/>
    <w:pPr>
      <w:ind w:left="48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Times New Roman"/>
      <w:color w:val="000000"/>
      <w:u w:val="single"/>
    </w:rPr>
  </w:style>
  <w:style w:type="character" w:customStyle="1" w:styleId="WW8Num1z1">
    <w:name w:val="WW8Num1z1"/>
    <w:rPr>
      <w:rFonts w:cs="Times New Roman"/>
    </w:rPr>
  </w:style>
  <w:style w:type="character" w:customStyle="1" w:styleId="a8">
    <w:name w:val="頁首 字元"/>
    <w:basedOn w:val="a0"/>
    <w:rPr>
      <w:kern w:val="3"/>
    </w:rPr>
  </w:style>
  <w:style w:type="character" w:customStyle="1" w:styleId="a9">
    <w:name w:val="頁尾 字元"/>
    <w:basedOn w:val="a0"/>
    <w:rPr>
      <w:kern w:val="3"/>
    </w:rPr>
  </w:style>
  <w:style w:type="character" w:customStyle="1" w:styleId="HTML0">
    <w:name w:val="HTML 預設格式 字元"/>
    <w:basedOn w:val="a0"/>
    <w:rPr>
      <w:rFonts w:ascii="細明體, MingLiU" w:eastAsia="細明體, MingLiU" w:hAnsi="細明體, MingLiU" w:cs="細明體, MingLiU"/>
      <w:sz w:val="24"/>
      <w:szCs w:val="24"/>
    </w:rPr>
  </w:style>
  <w:style w:type="character" w:customStyle="1" w:styleId="aa">
    <w:name w:val="清單段落 字元"/>
    <w:rPr>
      <w:szCs w:val="24"/>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高級中等學校免試入學作業要點訂定應遵行事項第4點修正規定</dc:title>
  <dc:creator>tpde</dc:creator>
  <cp:lastModifiedBy>DELL</cp:lastModifiedBy>
  <cp:revision>2</cp:revision>
  <cp:lastPrinted>2016-08-10T12:36:00Z</cp:lastPrinted>
  <dcterms:created xsi:type="dcterms:W3CDTF">2016-09-05T05:12:00Z</dcterms:created>
  <dcterms:modified xsi:type="dcterms:W3CDTF">2016-09-05T05:12:00Z</dcterms:modified>
</cp:coreProperties>
</file>