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D63D99">
      <w:pPr>
        <w:snapToGrid w:val="0"/>
        <w:spacing w:beforeLines="5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r w:rsidR="003F68CF">
        <w:rPr>
          <w:rFonts w:ascii="標楷體" w:eastAsia="標楷體" w:hAnsi="標楷體" w:hint="eastAsia"/>
          <w:color w:val="000000"/>
        </w:rPr>
        <w:t>桃教資字第1090055728號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r w:rsidR="009E7386" w:rsidRPr="000418B6">
        <w:rPr>
          <w:rFonts w:ascii="標楷體" w:eastAsia="標楷體" w:hAnsi="標楷體" w:cs="SimSun" w:hint="eastAsia"/>
        </w:rPr>
        <w:t>），共六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各競賽員聽聞下課鈴響請停止授課，並進行設備及學生換場準備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及各組桌牌。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r w:rsidR="009C2062" w:rsidRPr="000418B6">
        <w:rPr>
          <w:rFonts w:ascii="標楷體" w:eastAsia="標楷體" w:hAnsi="標楷體"/>
        </w:rPr>
        <w:t>臺）及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bookmarkStart w:id="0" w:name="_GoBack"/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前，逕至桃園市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bookmarkEnd w:id="0"/>
      <w:r w:rsidR="006D3A7F" w:rsidRPr="000418B6">
        <w:rPr>
          <w:rFonts w:ascii="標楷體" w:eastAsia="標楷體" w:hAnsi="標楷體" w:hint="eastAsia"/>
        </w:rPr>
        <w:t>，並上傳報名表核章版(附件一)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評分方式：每個試場由主辦單位聘請專家擔任評審進行各分科之評分。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lastRenderedPageBreak/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評審委員原始成績滿分各為100分，各委員原始成績經轉換為標準分數(70+5z）後採計。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含）以內，取前三名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各隊參賽員所獲名次之積分加總後採計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金桃奬：禮券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銀桃奬：禮券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銅桃奬：禮券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各參賽單位均應切實遵守下列各項規定：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lastRenderedPageBreak/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競賽教室空堂</w:t>
      </w:r>
      <w:r w:rsidR="00697A10" w:rsidRPr="000418B6">
        <w:rPr>
          <w:rFonts w:ascii="標楷體" w:eastAsia="標楷體" w:hAnsi="標楷體" w:cs="SimSun" w:hint="eastAsia"/>
          <w:b/>
        </w:rPr>
        <w:t>屆時再行公告，便於競賽員安排。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參與籌備會、說明會之行政人員在課務自理原則下</w:t>
      </w:r>
      <w:r w:rsidRPr="000418B6">
        <w:rPr>
          <w:rFonts w:ascii="標楷體" w:eastAsia="標楷體" w:hAnsi="標楷體" w:hint="eastAsia"/>
        </w:rPr>
        <w:t>核予公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組長主任校長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lastRenderedPageBreak/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lastRenderedPageBreak/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7D5979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填表日期：年月日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9B" w:rsidRDefault="00B9189B" w:rsidP="00914867">
      <w:r>
        <w:separator/>
      </w:r>
    </w:p>
  </w:endnote>
  <w:endnote w:type="continuationSeparator" w:id="1">
    <w:p w:rsidR="00B9189B" w:rsidRDefault="00B9189B" w:rsidP="0091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9B" w:rsidRDefault="00B9189B" w:rsidP="00914867">
      <w:r>
        <w:separator/>
      </w:r>
    </w:p>
  </w:footnote>
  <w:footnote w:type="continuationSeparator" w:id="1">
    <w:p w:rsidR="00B9189B" w:rsidRDefault="00B9189B" w:rsidP="00914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E1BE8"/>
    <w:rsid w:val="004E6AC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C6B42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189B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63D99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2909</Characters>
  <Application>Microsoft Office Word</Application>
  <DocSecurity>0</DocSecurity>
  <Lines>24</Lines>
  <Paragraphs>6</Paragraphs>
  <ScaleCrop>false</ScaleCrop>
  <Company>SYNNEX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2019-05-20T03:13:00Z</cp:lastPrinted>
  <dcterms:created xsi:type="dcterms:W3CDTF">2020-09-02T12:57:00Z</dcterms:created>
  <dcterms:modified xsi:type="dcterms:W3CDTF">2020-09-02T12:57:00Z</dcterms:modified>
</cp:coreProperties>
</file>